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046" w:rsidRDefault="009F5046" w:rsidP="009F5046">
      <w:pPr>
        <w:jc w:val="right"/>
        <w:rPr>
          <w:rFonts w:ascii="Calibri" w:hAnsi="Calibri" w:cs="Calibri"/>
          <w:b/>
          <w:color w:val="000000"/>
          <w:sz w:val="20"/>
          <w:szCs w:val="20"/>
        </w:rPr>
      </w:pPr>
      <w:bookmarkStart w:id="0" w:name="_GoBack"/>
      <w:bookmarkEnd w:id="0"/>
      <w:r>
        <w:rPr>
          <w:rFonts w:ascii="Calibri" w:hAnsi="Calibri" w:cs="Calibri"/>
          <w:b/>
          <w:color w:val="000000"/>
          <w:sz w:val="20"/>
          <w:szCs w:val="20"/>
        </w:rPr>
        <w:t>Annexure E</w:t>
      </w:r>
    </w:p>
    <w:p w:rsidR="009F5046" w:rsidRDefault="009F5046" w:rsidP="009F5046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</w:p>
    <w:p w:rsidR="009F5046" w:rsidRPr="00A53C1B" w:rsidRDefault="009F5046" w:rsidP="009F5046">
      <w:pPr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A53C1B">
        <w:rPr>
          <w:rFonts w:ascii="Calibri" w:hAnsi="Calibri" w:cs="Calibri"/>
          <w:b/>
          <w:color w:val="000000"/>
          <w:sz w:val="20"/>
          <w:szCs w:val="20"/>
        </w:rPr>
        <w:t xml:space="preserve">TENDER No:  </w:t>
      </w:r>
      <w:r w:rsidRPr="00A53C1B">
        <w:rPr>
          <w:rStyle w:val="lstextview"/>
          <w:rFonts w:ascii="Calibri" w:hAnsi="Calibri" w:cs="Calibri"/>
          <w:sz w:val="20"/>
          <w:szCs w:val="20"/>
        </w:rPr>
        <w:t>63000036523</w:t>
      </w:r>
      <w:r w:rsidRPr="00A53C1B">
        <w:rPr>
          <w:rFonts w:ascii="Calibri" w:hAnsi="Calibri" w:cs="Calibri"/>
          <w:b/>
          <w:color w:val="000000"/>
          <w:sz w:val="20"/>
          <w:szCs w:val="20"/>
        </w:rPr>
        <w:tab/>
      </w:r>
      <w:r w:rsidRPr="00A53C1B">
        <w:rPr>
          <w:rFonts w:ascii="Calibri" w:hAnsi="Calibri" w:cs="Calibri"/>
          <w:b/>
          <w:color w:val="000000"/>
          <w:sz w:val="20"/>
          <w:szCs w:val="20"/>
        </w:rPr>
        <w:tab/>
      </w:r>
      <w:r w:rsidRPr="00A53C1B">
        <w:rPr>
          <w:rFonts w:ascii="Calibri" w:hAnsi="Calibri" w:cs="Calibri"/>
          <w:b/>
          <w:color w:val="000000"/>
          <w:sz w:val="20"/>
          <w:szCs w:val="20"/>
        </w:rPr>
        <w:tab/>
      </w:r>
      <w:r w:rsidRPr="00A53C1B">
        <w:rPr>
          <w:rFonts w:ascii="Calibri" w:hAnsi="Calibri" w:cs="Calibri"/>
          <w:b/>
          <w:color w:val="000000"/>
          <w:sz w:val="20"/>
          <w:szCs w:val="20"/>
        </w:rPr>
        <w:tab/>
      </w:r>
      <w:r w:rsidRPr="00A53C1B">
        <w:rPr>
          <w:rFonts w:ascii="Calibri" w:hAnsi="Calibri" w:cs="Calibri"/>
          <w:b/>
          <w:color w:val="000000"/>
          <w:sz w:val="20"/>
          <w:szCs w:val="20"/>
        </w:rPr>
        <w:tab/>
      </w:r>
      <w:r w:rsidRPr="00A53C1B">
        <w:rPr>
          <w:rFonts w:ascii="Calibri" w:hAnsi="Calibri" w:cs="Calibri"/>
          <w:b/>
          <w:color w:val="000000"/>
          <w:sz w:val="20"/>
          <w:szCs w:val="20"/>
        </w:rPr>
        <w:tab/>
      </w:r>
      <w:r w:rsidRPr="00A53C1B">
        <w:rPr>
          <w:rFonts w:ascii="Calibri" w:hAnsi="Calibri" w:cs="Calibri"/>
          <w:b/>
          <w:color w:val="000000"/>
          <w:sz w:val="20"/>
          <w:szCs w:val="20"/>
        </w:rPr>
        <w:tab/>
        <w:t xml:space="preserve">     Date: 25.08.2021</w:t>
      </w:r>
    </w:p>
    <w:p w:rsidR="009F5046" w:rsidRPr="00A53C1B" w:rsidRDefault="009F5046" w:rsidP="009F5046">
      <w:pPr>
        <w:pStyle w:val="ListParagraph"/>
        <w:ind w:left="0" w:right="288"/>
        <w:jc w:val="center"/>
        <w:rPr>
          <w:rFonts w:ascii="Calibri" w:hAnsi="Calibri" w:cs="Calibri"/>
          <w:b/>
          <w:bCs/>
          <w:color w:val="000000"/>
          <w:sz w:val="20"/>
          <w:szCs w:val="20"/>
          <w:u w:val="single"/>
        </w:rPr>
      </w:pPr>
    </w:p>
    <w:p w:rsidR="009F5046" w:rsidRPr="00A53C1B" w:rsidRDefault="009F5046" w:rsidP="009F5046">
      <w:pPr>
        <w:pStyle w:val="ListParagraph"/>
        <w:ind w:left="0" w:right="288"/>
        <w:jc w:val="center"/>
        <w:rPr>
          <w:rFonts w:ascii="Calibri" w:hAnsi="Calibri" w:cs="Calibri"/>
          <w:b/>
          <w:bCs/>
          <w:color w:val="000000"/>
          <w:sz w:val="20"/>
          <w:szCs w:val="20"/>
          <w:u w:val="single"/>
        </w:rPr>
      </w:pPr>
      <w:r w:rsidRPr="00A53C1B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CHARGES FOR SERVICES</w:t>
      </w:r>
    </w:p>
    <w:p w:rsidR="009F5046" w:rsidRPr="00A53C1B" w:rsidRDefault="009F5046" w:rsidP="009F5046">
      <w:pPr>
        <w:pStyle w:val="ListParagraph"/>
        <w:ind w:left="1134" w:right="288"/>
        <w:jc w:val="center"/>
        <w:rPr>
          <w:rFonts w:ascii="Calibri" w:hAnsi="Calibri" w:cs="Calibri"/>
          <w:b/>
          <w:bCs/>
          <w:color w:val="000000"/>
          <w:sz w:val="20"/>
          <w:szCs w:val="20"/>
          <w:u w:val="single"/>
        </w:rPr>
      </w:pPr>
    </w:p>
    <w:p w:rsidR="009F5046" w:rsidRPr="00A53C1B" w:rsidRDefault="009F5046" w:rsidP="009F5046">
      <w:pPr>
        <w:pStyle w:val="ListParagraph"/>
        <w:spacing w:line="240" w:lineRule="auto"/>
        <w:ind w:left="0" w:right="289"/>
        <w:jc w:val="both"/>
        <w:rPr>
          <w:rFonts w:ascii="Calibri" w:hAnsi="Calibri" w:cs="Calibri"/>
          <w:color w:val="000000"/>
          <w:sz w:val="20"/>
          <w:szCs w:val="20"/>
        </w:rPr>
      </w:pPr>
      <w:r w:rsidRPr="00A53C1B">
        <w:rPr>
          <w:rFonts w:ascii="Calibri" w:hAnsi="Calibri" w:cs="Calibri"/>
          <w:color w:val="000000"/>
          <w:sz w:val="20"/>
          <w:szCs w:val="20"/>
        </w:rPr>
        <w:t xml:space="preserve">Please refer to the scope of work and the various points under this RFP, every agency is expected to fill-in the following requisite column </w:t>
      </w:r>
      <w:r w:rsidRPr="00A53C1B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 xml:space="preserve">accurately and </w:t>
      </w:r>
      <w:proofErr w:type="gramStart"/>
      <w:r w:rsidRPr="00A53C1B">
        <w:rPr>
          <w:rFonts w:ascii="Calibri" w:hAnsi="Calibri" w:cs="Calibri"/>
          <w:b/>
          <w:bCs/>
          <w:color w:val="000000"/>
          <w:sz w:val="20"/>
          <w:szCs w:val="20"/>
          <w:u w:val="single"/>
        </w:rPr>
        <w:t>completely</w:t>
      </w:r>
      <w:r w:rsidRPr="00A53C1B">
        <w:rPr>
          <w:rFonts w:ascii="Calibri" w:hAnsi="Calibri" w:cs="Calibri"/>
          <w:color w:val="000000"/>
          <w:sz w:val="20"/>
          <w:szCs w:val="20"/>
        </w:rPr>
        <w:t xml:space="preserve"> :</w:t>
      </w:r>
      <w:proofErr w:type="gramEnd"/>
    </w:p>
    <w:p w:rsidR="009F5046" w:rsidRPr="00A53C1B" w:rsidRDefault="009F5046" w:rsidP="009F5046">
      <w:pPr>
        <w:pStyle w:val="ListParagraph"/>
        <w:spacing w:line="240" w:lineRule="auto"/>
        <w:ind w:left="0" w:right="289"/>
        <w:jc w:val="both"/>
        <w:rPr>
          <w:rFonts w:ascii="Calibri" w:hAnsi="Calibri" w:cs="Calibri"/>
          <w:color w:val="000000"/>
          <w:sz w:val="20"/>
          <w:szCs w:val="20"/>
        </w:rPr>
      </w:pPr>
    </w:p>
    <w:p w:rsidR="009F5046" w:rsidRPr="00A53C1B" w:rsidRDefault="009F5046" w:rsidP="009F5046">
      <w:pPr>
        <w:pStyle w:val="ListParagraph"/>
        <w:spacing w:line="240" w:lineRule="auto"/>
        <w:ind w:left="0" w:right="289"/>
        <w:jc w:val="both"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10128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4821"/>
        <w:gridCol w:w="1559"/>
        <w:gridCol w:w="992"/>
        <w:gridCol w:w="2127"/>
      </w:tblGrid>
      <w:tr w:rsidR="009F5046" w:rsidRPr="00A53C1B" w:rsidTr="00B02CBE">
        <w:trPr>
          <w:cantSplit/>
          <w:tblHeader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Sl. No.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x-none"/>
              </w:rPr>
            </w:pPr>
            <w:r w:rsidRPr="00A53C1B">
              <w:rPr>
                <w:rFonts w:ascii="Calibri" w:hAnsi="Calibri" w:cs="Calibri"/>
                <w:b/>
                <w:color w:val="000000"/>
                <w:sz w:val="20"/>
                <w:szCs w:val="20"/>
                <w:lang w:eastAsia="x-none"/>
              </w:rPr>
              <w:t xml:space="preserve">Category </w:t>
            </w:r>
            <w:r w:rsidRPr="00A53C1B">
              <w:rPr>
                <w:rFonts w:ascii="Calibri" w:hAnsi="Calibri" w:cs="Calibri"/>
                <w:b/>
                <w:color w:val="000000"/>
                <w:sz w:val="20"/>
                <w:szCs w:val="20"/>
                <w:lang w:val="x-none" w:eastAsia="x-none"/>
              </w:rPr>
              <w:t>Description</w:t>
            </w:r>
            <w:r w:rsidRPr="00A53C1B">
              <w:rPr>
                <w:rFonts w:ascii="Calibri" w:hAnsi="Calibri" w:cs="Calibri"/>
                <w:b/>
                <w:color w:val="000000"/>
                <w:sz w:val="20"/>
                <w:szCs w:val="20"/>
                <w:lang w:eastAsia="x-none"/>
              </w:rPr>
              <w:t xml:space="preserve"> </w:t>
            </w:r>
          </w:p>
          <w:p w:rsidR="009F5046" w:rsidRPr="00A53C1B" w:rsidRDefault="009F5046" w:rsidP="00B02CB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x-none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  <w:lang w:eastAsia="x-none"/>
              </w:rPr>
              <w:t>(Indicative activities / elements under each Heads with relative weightage for financial evaluation)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Slab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ind w:left="-106" w:right="-104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Slab Unit of measurement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Charges per application / candidate in Rs. (To quote in system against </w:t>
            </w:r>
            <w:r w:rsidRPr="00A53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ITEM DATA</w:t>
            </w: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) – excluding taxes applicable.</w:t>
            </w:r>
          </w:p>
        </w:tc>
      </w:tr>
      <w:tr w:rsidR="009F5046" w:rsidRPr="00A53C1B" w:rsidTr="00B02CBE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x-none" w:eastAsia="x-none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(4)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(5)</w:t>
            </w: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(A)</w:t>
            </w:r>
          </w:p>
        </w:tc>
        <w:tc>
          <w:tcPr>
            <w:tcW w:w="4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Application processing and related activities</w:t>
            </w: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</w:t>
            </w:r>
            <w:r w:rsidRPr="00A53C1B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(40%)</w:t>
            </w:r>
          </w:p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(This including ATS processing charges, Communication related cost, reporting charges, etc.)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0-200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201-500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501-1000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1001-2000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2001-5000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5046" w:rsidRPr="00A53C1B" w:rsidTr="00B02CBE">
        <w:trPr>
          <w:cantSplit/>
          <w:trHeight w:val="659"/>
        </w:trPr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5001-10000 and above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9F5046" w:rsidRDefault="009F5046" w:rsidP="009F5046"/>
    <w:p w:rsidR="009F5046" w:rsidRDefault="009F5046" w:rsidP="009F5046"/>
    <w:tbl>
      <w:tblPr>
        <w:tblW w:w="10128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4821"/>
        <w:gridCol w:w="1559"/>
        <w:gridCol w:w="992"/>
        <w:gridCol w:w="2127"/>
      </w:tblGrid>
      <w:tr w:rsidR="009F5046" w:rsidRPr="00A53C1B" w:rsidTr="00B02CBE">
        <w:trPr>
          <w:cantSplit/>
          <w:tblHeader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Sl. No.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x-none"/>
              </w:rPr>
            </w:pPr>
            <w:r w:rsidRPr="00A53C1B">
              <w:rPr>
                <w:rFonts w:ascii="Calibri" w:hAnsi="Calibri" w:cs="Calibri"/>
                <w:b/>
                <w:color w:val="000000"/>
                <w:sz w:val="20"/>
                <w:szCs w:val="20"/>
                <w:lang w:eastAsia="x-none"/>
              </w:rPr>
              <w:t xml:space="preserve">Category </w:t>
            </w:r>
            <w:r w:rsidRPr="00A53C1B">
              <w:rPr>
                <w:rFonts w:ascii="Calibri" w:hAnsi="Calibri" w:cs="Calibri"/>
                <w:b/>
                <w:color w:val="000000"/>
                <w:sz w:val="20"/>
                <w:szCs w:val="20"/>
                <w:lang w:val="x-none" w:eastAsia="x-none"/>
              </w:rPr>
              <w:t>Description</w:t>
            </w:r>
            <w:r w:rsidRPr="00A53C1B">
              <w:rPr>
                <w:rFonts w:ascii="Calibri" w:hAnsi="Calibri" w:cs="Calibri"/>
                <w:b/>
                <w:color w:val="000000"/>
                <w:sz w:val="20"/>
                <w:szCs w:val="20"/>
                <w:lang w:eastAsia="x-none"/>
              </w:rPr>
              <w:t xml:space="preserve"> </w:t>
            </w:r>
          </w:p>
          <w:p w:rsidR="009F5046" w:rsidRPr="00A53C1B" w:rsidRDefault="009F5046" w:rsidP="00B02CB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x-none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  <w:lang w:eastAsia="x-none"/>
              </w:rPr>
              <w:t xml:space="preserve"> (Indicative activities / elements under each Heads with relative weightage for financial evaluation)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Slab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ind w:left="-106" w:right="-104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Slab Unit of measurement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Charges </w:t>
            </w:r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per  candidate</w:t>
            </w:r>
            <w:proofErr w:type="gramEnd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in Rs. (To quote in system against </w:t>
            </w:r>
            <w:r w:rsidRPr="00A53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ITEM DATA</w:t>
            </w: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) – excluding taxes applicable.</w:t>
            </w:r>
          </w:p>
        </w:tc>
      </w:tr>
      <w:tr w:rsidR="009F5046" w:rsidRPr="00A53C1B" w:rsidTr="00B02CBE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x-none" w:eastAsia="x-none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(4)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(5)</w:t>
            </w: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(B)</w:t>
            </w:r>
          </w:p>
        </w:tc>
        <w:tc>
          <w:tcPr>
            <w:tcW w:w="4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Computer based on-line Test (CBT) – Physical venue based. (25%)</w:t>
            </w:r>
          </w:p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(This includes assessment activities - Question papers preparation, evaluation, reporting, etc.,</w:t>
            </w:r>
            <w:r w:rsidRPr="00A53C1B">
              <w:rPr>
                <w:rFonts w:ascii="Calibri" w:hAnsi="Calibri" w:cs="Calibri"/>
                <w:color w:val="000000"/>
                <w:sz w:val="20"/>
                <w:szCs w:val="20"/>
                <w:u w:val="single"/>
              </w:rPr>
              <w:t xml:space="preserve"> Logistics</w:t>
            </w: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-venue, infrastructure related, hardware, software, etc., Data handling - storage, retrieval </w:t>
            </w:r>
            <w:proofErr w:type="spell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etc</w:t>
            </w:r>
            <w:proofErr w:type="spellEnd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0-200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201-500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501-1000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1001-2000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2001-5000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5001-10000 and above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9F5046" w:rsidRPr="00A53C1B" w:rsidRDefault="009F5046" w:rsidP="009F5046">
      <w:pPr>
        <w:rPr>
          <w:rFonts w:ascii="Calibri" w:hAnsi="Calibri" w:cs="Calibri"/>
          <w:sz w:val="20"/>
          <w:szCs w:val="20"/>
        </w:rPr>
      </w:pPr>
    </w:p>
    <w:p w:rsidR="009F5046" w:rsidRPr="00A53C1B" w:rsidRDefault="009F5046" w:rsidP="009F5046">
      <w:pPr>
        <w:rPr>
          <w:rFonts w:ascii="Calibri" w:hAnsi="Calibri" w:cs="Calibri"/>
          <w:sz w:val="20"/>
          <w:szCs w:val="20"/>
        </w:rPr>
      </w:pPr>
    </w:p>
    <w:p w:rsidR="009F5046" w:rsidRPr="00A53C1B" w:rsidRDefault="009F5046" w:rsidP="009F5046">
      <w:pPr>
        <w:rPr>
          <w:rFonts w:ascii="Calibri" w:hAnsi="Calibri" w:cs="Calibri"/>
          <w:sz w:val="20"/>
          <w:szCs w:val="20"/>
        </w:rPr>
      </w:pPr>
    </w:p>
    <w:p w:rsidR="009F5046" w:rsidRPr="00A53C1B" w:rsidRDefault="009F5046" w:rsidP="009F5046">
      <w:pPr>
        <w:rPr>
          <w:rFonts w:ascii="Calibri" w:hAnsi="Calibri" w:cs="Calibri"/>
          <w:sz w:val="20"/>
          <w:szCs w:val="20"/>
        </w:rPr>
      </w:pPr>
    </w:p>
    <w:tbl>
      <w:tblPr>
        <w:tblW w:w="10128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4821"/>
        <w:gridCol w:w="1559"/>
        <w:gridCol w:w="992"/>
        <w:gridCol w:w="2127"/>
      </w:tblGrid>
      <w:tr w:rsidR="009F5046" w:rsidRPr="00A53C1B" w:rsidTr="00B02CBE">
        <w:trPr>
          <w:cantSplit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Sl. No.</w:t>
            </w:r>
          </w:p>
        </w:tc>
        <w:tc>
          <w:tcPr>
            <w:tcW w:w="4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x-none"/>
              </w:rPr>
            </w:pPr>
            <w:r w:rsidRPr="00A53C1B">
              <w:rPr>
                <w:rFonts w:ascii="Calibri" w:hAnsi="Calibri" w:cs="Calibri"/>
                <w:b/>
                <w:color w:val="000000"/>
                <w:sz w:val="20"/>
                <w:szCs w:val="20"/>
                <w:lang w:eastAsia="x-none"/>
              </w:rPr>
              <w:t xml:space="preserve">Category </w:t>
            </w:r>
            <w:r w:rsidRPr="00A53C1B">
              <w:rPr>
                <w:rFonts w:ascii="Calibri" w:hAnsi="Calibri" w:cs="Calibri"/>
                <w:b/>
                <w:color w:val="000000"/>
                <w:sz w:val="20"/>
                <w:szCs w:val="20"/>
                <w:lang w:val="x-none" w:eastAsia="x-none"/>
              </w:rPr>
              <w:t>Description</w:t>
            </w:r>
            <w:r w:rsidRPr="00A53C1B">
              <w:rPr>
                <w:rFonts w:ascii="Calibri" w:hAnsi="Calibri" w:cs="Calibri"/>
                <w:b/>
                <w:color w:val="000000"/>
                <w:sz w:val="20"/>
                <w:szCs w:val="20"/>
                <w:lang w:eastAsia="x-none"/>
              </w:rPr>
              <w:t xml:space="preserve"> </w:t>
            </w:r>
          </w:p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(Indicative activities / elements under each Heads with relative weightage for financial evaluation)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Slab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Slab Unit of measurement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Charges per candidate in Rs. (To quote in system against ITEM DATA) – excluding taxes applicable.</w:t>
            </w: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4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spacing w:line="276" w:lineRule="auto"/>
              <w:jc w:val="center"/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(4)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(5)</w:t>
            </w: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(C)</w:t>
            </w:r>
          </w:p>
        </w:tc>
        <w:tc>
          <w:tcPr>
            <w:tcW w:w="4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On-line assessment system (Remote mode from </w:t>
            </w:r>
            <w:proofErr w:type="gramStart"/>
            <w:r w:rsidRPr="00A53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candidates</w:t>
            </w:r>
            <w:proofErr w:type="gramEnd"/>
            <w:r w:rsidRPr="00A53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location) – (50%)</w:t>
            </w:r>
          </w:p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(It will include on-line assessment platform cost encompassing verification, real time monitoring for deviation for test integrity &amp; candidate behavior, Data &amp; Image storage &amp; retrieval, Question papers preparation, evaluation &amp; reporting.)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0-200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201-500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501-1000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1001-2000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2001-5000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5001-10000 and above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No.s</w:t>
            </w:r>
            <w:proofErr w:type="spellEnd"/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9F5046" w:rsidRPr="00A53C1B" w:rsidRDefault="009F5046" w:rsidP="009F5046">
      <w:pPr>
        <w:rPr>
          <w:rFonts w:ascii="Calibri" w:hAnsi="Calibri" w:cs="Calibri"/>
          <w:sz w:val="20"/>
          <w:szCs w:val="20"/>
        </w:rPr>
      </w:pPr>
    </w:p>
    <w:tbl>
      <w:tblPr>
        <w:tblW w:w="10128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4821"/>
        <w:gridCol w:w="1559"/>
        <w:gridCol w:w="992"/>
        <w:gridCol w:w="2127"/>
      </w:tblGrid>
      <w:tr w:rsidR="009F5046" w:rsidRPr="00A53C1B" w:rsidTr="00B02CBE">
        <w:trPr>
          <w:cantSplit/>
          <w:tblHeader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Sl. No.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  <w:lang w:eastAsia="x-none"/>
              </w:rPr>
            </w:pPr>
            <w:r w:rsidRPr="00A53C1B">
              <w:rPr>
                <w:rFonts w:ascii="Calibri" w:hAnsi="Calibri" w:cs="Calibri"/>
                <w:b/>
                <w:color w:val="000000"/>
                <w:sz w:val="20"/>
                <w:szCs w:val="20"/>
                <w:lang w:eastAsia="x-none"/>
              </w:rPr>
              <w:t xml:space="preserve">Category </w:t>
            </w:r>
            <w:r w:rsidRPr="00A53C1B">
              <w:rPr>
                <w:rFonts w:ascii="Calibri" w:hAnsi="Calibri" w:cs="Calibri"/>
                <w:b/>
                <w:color w:val="000000"/>
                <w:sz w:val="20"/>
                <w:szCs w:val="20"/>
                <w:lang w:val="x-none" w:eastAsia="x-none"/>
              </w:rPr>
              <w:t>Description</w:t>
            </w:r>
            <w:r w:rsidRPr="00A53C1B">
              <w:rPr>
                <w:rFonts w:ascii="Calibri" w:hAnsi="Calibri" w:cs="Calibri"/>
                <w:b/>
                <w:color w:val="000000"/>
                <w:sz w:val="20"/>
                <w:szCs w:val="20"/>
                <w:lang w:eastAsia="x-none"/>
              </w:rPr>
              <w:t xml:space="preserve"> </w:t>
            </w:r>
          </w:p>
          <w:p w:rsidR="009F5046" w:rsidRPr="00A53C1B" w:rsidRDefault="009F5046" w:rsidP="00B02CB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x-none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  <w:lang w:eastAsia="x-none"/>
              </w:rPr>
              <w:t xml:space="preserve"> (Indicative activities / elements under each Heads with relative weightage for financial evaluation)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Slab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ind w:left="-106" w:right="-104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Slab Unit of measurement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Charges per recruitment cycle in Rs. (To quote in system against </w:t>
            </w:r>
            <w:r w:rsidRPr="00A53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ITEM DATA</w:t>
            </w: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) – excluding taxes applicable.</w:t>
            </w:r>
          </w:p>
        </w:tc>
      </w:tr>
      <w:tr w:rsidR="009F5046" w:rsidRPr="00A53C1B" w:rsidTr="00B02CBE">
        <w:trPr>
          <w:cantSplit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lang w:val="x-none" w:eastAsia="x-none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(4)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(5)</w:t>
            </w: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(D)</w:t>
            </w:r>
          </w:p>
        </w:tc>
        <w:tc>
          <w:tcPr>
            <w:tcW w:w="4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Analytics &amp; Report (5%)</w:t>
            </w:r>
          </w:p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(This will include analytics &amp; report on cost per recruitment cycle)</w:t>
            </w:r>
          </w:p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Cost per recruitment cycle in (Rs).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1-10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Cycles/ Annum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11-20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rPr>
                <w:rFonts w:ascii="Calibri" w:hAnsi="Calibri" w:cs="Calibri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Cycles/ Annum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5046" w:rsidRPr="00A53C1B" w:rsidTr="00B02CBE">
        <w:trPr>
          <w:cantSplit/>
        </w:trPr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21-30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rPr>
                <w:rFonts w:ascii="Calibri" w:hAnsi="Calibri" w:cs="Calibri"/>
                <w:sz w:val="20"/>
                <w:szCs w:val="20"/>
              </w:rPr>
            </w:pPr>
            <w:r w:rsidRPr="00A53C1B">
              <w:rPr>
                <w:rFonts w:ascii="Calibri" w:hAnsi="Calibri" w:cs="Calibri"/>
                <w:color w:val="000000"/>
                <w:sz w:val="20"/>
                <w:szCs w:val="20"/>
              </w:rPr>
              <w:t>Cycles/ Annum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5046" w:rsidRPr="00A53C1B" w:rsidRDefault="009F5046" w:rsidP="00B02CB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9F5046" w:rsidRPr="00A53C1B" w:rsidRDefault="009F5046" w:rsidP="009F5046">
      <w:pPr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9F5046" w:rsidRPr="00A53C1B" w:rsidRDefault="009F5046" w:rsidP="009F5046">
      <w:pPr>
        <w:jc w:val="both"/>
        <w:rPr>
          <w:rFonts w:ascii="Calibri" w:hAnsi="Calibri" w:cs="Calibri"/>
          <w:bCs/>
          <w:color w:val="000000"/>
          <w:sz w:val="20"/>
          <w:szCs w:val="20"/>
          <w:u w:val="single"/>
        </w:rPr>
      </w:pPr>
      <w:r w:rsidRPr="00A53C1B">
        <w:rPr>
          <w:rFonts w:ascii="Calibri" w:hAnsi="Calibri" w:cs="Calibri"/>
          <w:b/>
          <w:bCs/>
          <w:color w:val="000000"/>
          <w:sz w:val="20"/>
          <w:szCs w:val="20"/>
        </w:rPr>
        <w:t xml:space="preserve">NB: </w:t>
      </w:r>
      <w:r w:rsidRPr="00A53C1B">
        <w:rPr>
          <w:rFonts w:ascii="Calibri" w:hAnsi="Calibri" w:cs="Calibri"/>
          <w:bCs/>
          <w:color w:val="000000"/>
          <w:sz w:val="20"/>
          <w:szCs w:val="20"/>
          <w:u w:val="single"/>
        </w:rPr>
        <w:t xml:space="preserve">It is mandatory for all the bidders to quote against each </w:t>
      </w:r>
      <w:proofErr w:type="gramStart"/>
      <w:r w:rsidRPr="00A53C1B">
        <w:rPr>
          <w:rFonts w:ascii="Calibri" w:hAnsi="Calibri" w:cs="Calibri"/>
          <w:bCs/>
          <w:color w:val="000000"/>
          <w:sz w:val="20"/>
          <w:szCs w:val="20"/>
          <w:u w:val="single"/>
        </w:rPr>
        <w:t>slabs</w:t>
      </w:r>
      <w:proofErr w:type="gramEnd"/>
      <w:r w:rsidRPr="00A53C1B">
        <w:rPr>
          <w:rFonts w:ascii="Calibri" w:hAnsi="Calibri" w:cs="Calibri"/>
          <w:bCs/>
          <w:color w:val="000000"/>
          <w:sz w:val="20"/>
          <w:szCs w:val="20"/>
          <w:u w:val="single"/>
        </w:rPr>
        <w:t xml:space="preserve"> under every categories </w:t>
      </w:r>
      <w:proofErr w:type="spellStart"/>
      <w:r w:rsidRPr="00A53C1B">
        <w:rPr>
          <w:rFonts w:ascii="Calibri" w:hAnsi="Calibri" w:cs="Calibri"/>
          <w:bCs/>
          <w:color w:val="000000"/>
          <w:sz w:val="20"/>
          <w:szCs w:val="20"/>
          <w:u w:val="single"/>
        </w:rPr>
        <w:t>with out</w:t>
      </w:r>
      <w:proofErr w:type="spellEnd"/>
      <w:r w:rsidRPr="00A53C1B">
        <w:rPr>
          <w:rFonts w:ascii="Calibri" w:hAnsi="Calibri" w:cs="Calibri"/>
          <w:bCs/>
          <w:color w:val="000000"/>
          <w:sz w:val="20"/>
          <w:szCs w:val="20"/>
          <w:u w:val="single"/>
        </w:rPr>
        <w:t xml:space="preserve"> any exceptions, failing which the financial bid will be considered as invalid and incomplete and will be subject to rejections.</w:t>
      </w:r>
    </w:p>
    <w:p w:rsidR="009F5046" w:rsidRPr="00A53C1B" w:rsidRDefault="009F5046" w:rsidP="009F5046">
      <w:pPr>
        <w:jc w:val="both"/>
        <w:rPr>
          <w:rFonts w:ascii="Calibri" w:hAnsi="Calibri" w:cs="Calibri"/>
          <w:color w:val="000000"/>
          <w:sz w:val="20"/>
          <w:szCs w:val="20"/>
        </w:rPr>
      </w:pPr>
    </w:p>
    <w:p w:rsidR="009F5046" w:rsidRPr="00A53C1B" w:rsidRDefault="009F5046" w:rsidP="009F5046">
      <w:pPr>
        <w:spacing w:line="30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A53C1B">
        <w:rPr>
          <w:rFonts w:ascii="Calibri" w:hAnsi="Calibri" w:cs="Calibri"/>
          <w:b/>
          <w:bCs/>
          <w:color w:val="000000"/>
          <w:sz w:val="20"/>
          <w:szCs w:val="20"/>
        </w:rPr>
        <w:t xml:space="preserve">(1) The lowest bidder evaluation will be based on the </w:t>
      </w:r>
      <w:proofErr w:type="gramStart"/>
      <w:r w:rsidRPr="00A53C1B">
        <w:rPr>
          <w:rFonts w:ascii="Calibri" w:hAnsi="Calibri" w:cs="Calibri"/>
          <w:b/>
          <w:bCs/>
          <w:color w:val="000000"/>
          <w:sz w:val="20"/>
          <w:szCs w:val="20"/>
        </w:rPr>
        <w:t>following :</w:t>
      </w:r>
      <w:proofErr w:type="gramEnd"/>
    </w:p>
    <w:p w:rsidR="009F5046" w:rsidRPr="00A53C1B" w:rsidRDefault="009F5046" w:rsidP="009F5046">
      <w:pPr>
        <w:numPr>
          <w:ilvl w:val="0"/>
          <w:numId w:val="1"/>
        </w:numPr>
        <w:spacing w:line="300" w:lineRule="auto"/>
        <w:ind w:left="658" w:hanging="406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A53C1B">
        <w:rPr>
          <w:rFonts w:ascii="Calibri" w:hAnsi="Calibri" w:cs="Calibri"/>
          <w:b/>
          <w:bCs/>
          <w:color w:val="000000"/>
          <w:sz w:val="20"/>
          <w:szCs w:val="20"/>
        </w:rPr>
        <w:t xml:space="preserve">The weightage indicated under the four categories (A to D as above </w:t>
      </w:r>
      <w:proofErr w:type="spellStart"/>
      <w:r w:rsidRPr="00A53C1B">
        <w:rPr>
          <w:rFonts w:ascii="Calibri" w:hAnsi="Calibri" w:cs="Calibri"/>
          <w:b/>
          <w:bCs/>
          <w:color w:val="000000"/>
          <w:sz w:val="20"/>
          <w:szCs w:val="20"/>
        </w:rPr>
        <w:t>i.e</w:t>
      </w:r>
      <w:proofErr w:type="spellEnd"/>
      <w:r w:rsidRPr="00A53C1B">
        <w:rPr>
          <w:rFonts w:ascii="Calibri" w:hAnsi="Calibri" w:cs="Calibri"/>
          <w:b/>
          <w:bCs/>
          <w:color w:val="000000"/>
          <w:sz w:val="20"/>
          <w:szCs w:val="20"/>
        </w:rPr>
        <w:t xml:space="preserve"> Application processing and related activities, Computer based on-line Test – Physical venue based, On-line assessment system (Remote mode from candidates’ location), Analytics &amp; Report.) depicts Organizational priorities and preference. With the </w:t>
      </w:r>
      <w:proofErr w:type="spellStart"/>
      <w:r w:rsidRPr="00A53C1B">
        <w:rPr>
          <w:rFonts w:ascii="Calibri" w:hAnsi="Calibri" w:cs="Calibri"/>
          <w:b/>
          <w:bCs/>
          <w:color w:val="000000"/>
          <w:sz w:val="20"/>
          <w:szCs w:val="20"/>
        </w:rPr>
        <w:t>Covid</w:t>
      </w:r>
      <w:proofErr w:type="spellEnd"/>
      <w:r w:rsidRPr="00A53C1B">
        <w:rPr>
          <w:rFonts w:ascii="Calibri" w:hAnsi="Calibri" w:cs="Calibri"/>
          <w:b/>
          <w:bCs/>
          <w:color w:val="000000"/>
          <w:sz w:val="20"/>
          <w:szCs w:val="20"/>
        </w:rPr>
        <w:t xml:space="preserve"> situation the focus will be on activity ‘C’ in conjunction with the activities listed under ‘A’. The activities under ‘B’ will be adopted based on the context and organizational needs.</w:t>
      </w:r>
    </w:p>
    <w:p w:rsidR="009F5046" w:rsidRPr="00A53C1B" w:rsidRDefault="009F5046" w:rsidP="009F5046">
      <w:pPr>
        <w:numPr>
          <w:ilvl w:val="0"/>
          <w:numId w:val="1"/>
        </w:numPr>
        <w:spacing w:line="300" w:lineRule="auto"/>
        <w:ind w:left="658" w:hanging="406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A53C1B">
        <w:rPr>
          <w:rFonts w:ascii="Calibri" w:hAnsi="Calibri" w:cs="Calibri"/>
          <w:b/>
          <w:bCs/>
          <w:color w:val="000000"/>
          <w:sz w:val="20"/>
          <w:szCs w:val="20"/>
        </w:rPr>
        <w:t>The L1 within each category will be evaluated based on the least price quoted against all the slabs as a total.</w:t>
      </w:r>
    </w:p>
    <w:p w:rsidR="009F5046" w:rsidRDefault="009F5046"/>
    <w:sectPr w:rsidR="009F50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5A3513"/>
    <w:multiLevelType w:val="hybridMultilevel"/>
    <w:tmpl w:val="B82AA24A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046"/>
    <w:rsid w:val="009F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C2151"/>
  <w15:chartTrackingRefBased/>
  <w15:docId w15:val="{A0493FA6-3CEE-41A3-9C2D-1E1E00F17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Equipment,Numbered Indented Text,List Paragraph1,lp1,List Paragraph11,Figure_name,b1,Number_1,List Paragraph2,new,SGLText List Paragraph,Colorful List - Accent 11,Normal Sentence,List Paragraph Char Char,Bullets,Ref,List_TIS,TOC style"/>
    <w:basedOn w:val="Normal"/>
    <w:link w:val="ListParagraphChar"/>
    <w:uiPriority w:val="34"/>
    <w:qFormat/>
    <w:rsid w:val="009F5046"/>
    <w:pPr>
      <w:suppressAutoHyphens/>
      <w:spacing w:line="360" w:lineRule="auto"/>
      <w:ind w:left="720"/>
    </w:pPr>
    <w:rPr>
      <w:rFonts w:ascii="Tahoma" w:hAnsi="Tahoma"/>
      <w:sz w:val="18"/>
      <w:szCs w:val="18"/>
      <w:lang w:val="en-GB" w:eastAsia="zh-CN"/>
    </w:rPr>
  </w:style>
  <w:style w:type="character" w:customStyle="1" w:styleId="ListParagraphChar">
    <w:name w:val="List Paragraph Char"/>
    <w:aliases w:val="Equipment Char,Numbered Indented Text Char,List Paragraph1 Char,lp1 Char,List Paragraph11 Char,Figure_name Char,b1 Char,Number_1 Char,List Paragraph2 Char,new Char,SGLText List Paragraph Char,Colorful List - Accent 11 Char,Ref Char"/>
    <w:link w:val="ListParagraph"/>
    <w:uiPriority w:val="34"/>
    <w:qFormat/>
    <w:locked/>
    <w:rsid w:val="009F5046"/>
    <w:rPr>
      <w:rFonts w:ascii="Tahoma" w:eastAsia="Times New Roman" w:hAnsi="Tahoma" w:cs="Times New Roman"/>
      <w:sz w:val="18"/>
      <w:szCs w:val="18"/>
      <w:lang w:val="en-GB" w:eastAsia="zh-CN"/>
    </w:rPr>
  </w:style>
  <w:style w:type="character" w:customStyle="1" w:styleId="lstextview">
    <w:name w:val="lstextview"/>
    <w:rsid w:val="009F50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3085</Characters>
  <Application>Microsoft Office Word</Application>
  <DocSecurity>0</DocSecurity>
  <Lines>25</Lines>
  <Paragraphs>7</Paragraphs>
  <ScaleCrop>false</ScaleCrop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Mahesh P</dc:creator>
  <cp:keywords/>
  <dc:description/>
  <cp:lastModifiedBy>Mahesh P</cp:lastModifiedBy>
  <cp:revision>1</cp:revision>
  <dcterms:created xsi:type="dcterms:W3CDTF">2021-08-25T10:51:00Z</dcterms:created>
  <dcterms:modified xsi:type="dcterms:W3CDTF">2021-08-25T10:52:00Z</dcterms:modified>
</cp:coreProperties>
</file>